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E80B9" w14:textId="6BD3E62A" w:rsidR="00AD300A" w:rsidRPr="00AD300A" w:rsidRDefault="00AD300A" w:rsidP="00AD300A">
      <w:pPr>
        <w:autoSpaceDE w:val="0"/>
        <w:autoSpaceDN w:val="0"/>
        <w:adjustRightInd w:val="0"/>
        <w:spacing w:line="276" w:lineRule="auto"/>
        <w:rPr>
          <w:rFonts w:eastAsia="Calibri"/>
          <w:color w:val="000000"/>
          <w:lang w:val="en-GB"/>
        </w:rPr>
      </w:pPr>
      <w:bookmarkStart w:id="0" w:name="_Toc225424257"/>
      <w:r w:rsidRPr="00CA2715">
        <w:rPr>
          <w:rFonts w:eastAsia="Calibri"/>
          <w:b/>
          <w:bCs/>
          <w:color w:val="000000"/>
          <w:lang w:val="en-GB"/>
        </w:rPr>
        <w:t>S</w:t>
      </w:r>
      <w:r w:rsidRPr="00720F90">
        <w:rPr>
          <w:rFonts w:eastAsia="Calibri"/>
          <w:b/>
          <w:bCs/>
          <w:color w:val="000000"/>
          <w:lang w:val="en-GB"/>
        </w:rPr>
        <w:t>OCIO-DEMOGRAPHIC CHARA</w:t>
      </w:r>
      <w:r>
        <w:rPr>
          <w:rFonts w:eastAsia="Calibri"/>
          <w:b/>
          <w:bCs/>
          <w:color w:val="000000"/>
          <w:lang w:val="en-GB"/>
        </w:rPr>
        <w:t>C</w:t>
      </w:r>
      <w:r w:rsidRPr="00720F90">
        <w:rPr>
          <w:rFonts w:eastAsia="Calibri"/>
          <w:b/>
          <w:bCs/>
          <w:color w:val="000000"/>
          <w:lang w:val="en-GB"/>
        </w:rPr>
        <w:t xml:space="preserve">TERISTICS AND CULTURAL NORMS ASSOCIATED WITH FAMILY SUPPORT AMONG YOUNG ADULTS IN OFORIKROM MUNICIPALITY OF </w:t>
      </w:r>
      <w:r>
        <w:rPr>
          <w:rFonts w:eastAsia="Calibri"/>
          <w:b/>
          <w:bCs/>
          <w:color w:val="000000"/>
          <w:lang w:val="en-GB"/>
        </w:rPr>
        <w:t xml:space="preserve">THE </w:t>
      </w:r>
      <w:r w:rsidRPr="00720F90">
        <w:rPr>
          <w:rFonts w:eastAsia="Calibri"/>
          <w:b/>
          <w:bCs/>
          <w:color w:val="000000"/>
          <w:lang w:val="en-GB"/>
        </w:rPr>
        <w:t>ASHANTI REGION</w:t>
      </w:r>
      <w:r>
        <w:rPr>
          <w:rFonts w:eastAsia="Calibri"/>
          <w:b/>
          <w:bCs/>
          <w:color w:val="000000"/>
          <w:lang w:val="en-GB"/>
        </w:rPr>
        <w:t xml:space="preserve"> OF</w:t>
      </w:r>
      <w:r w:rsidRPr="00720F90">
        <w:rPr>
          <w:rFonts w:eastAsia="Calibri"/>
          <w:b/>
          <w:bCs/>
          <w:color w:val="000000"/>
          <w:lang w:val="en-GB"/>
        </w:rPr>
        <w:t xml:space="preserve"> GHANA</w:t>
      </w:r>
    </w:p>
    <w:p w14:paraId="0B252D29" w14:textId="16BC8171" w:rsidR="00AD300A" w:rsidRPr="00AD300A" w:rsidRDefault="00AD300A" w:rsidP="00AD300A">
      <w:pPr>
        <w:pStyle w:val="Heading1"/>
        <w:numPr>
          <w:ilvl w:val="0"/>
          <w:numId w:val="0"/>
        </w:numPr>
        <w:ind w:left="360"/>
        <w:rPr>
          <w:b/>
          <w:bCs/>
          <w:color w:val="auto"/>
          <w:sz w:val="24"/>
          <w:szCs w:val="28"/>
        </w:rPr>
      </w:pPr>
      <w:r w:rsidRPr="00AD300A">
        <w:rPr>
          <w:b/>
          <w:bCs/>
          <w:color w:val="auto"/>
          <w:sz w:val="24"/>
          <w:szCs w:val="28"/>
        </w:rPr>
        <w:t>ABSTRACT</w:t>
      </w:r>
      <w:bookmarkEnd w:id="0"/>
    </w:p>
    <w:p w14:paraId="2C422F20" w14:textId="77777777" w:rsidR="00AD300A" w:rsidRPr="00982CC1" w:rsidRDefault="00AD300A" w:rsidP="00AD300A">
      <w:pPr>
        <w:spacing w:after="120" w:line="276" w:lineRule="auto"/>
        <w:jc w:val="both"/>
      </w:pPr>
      <w:r w:rsidRPr="00982CC1">
        <w:t xml:space="preserve">Family support remains a critical resource for young adults’ transition to adulthood in contexts where formal welfare systems are limited. In Ghana, rapid urbanisation, changing family structures, and persistent socio-economic inequalities have reshaped how support is provided within families. However, empirical evidence on urban young adults’ access to family support, and the intersecting factors that shape this access, remains limited. This study examines the patterns, predictors, and lived experiences of family support among urban young adults in </w:t>
      </w:r>
      <w:r>
        <w:t xml:space="preserve">Oforikrom Municipality, Ashanti Region - </w:t>
      </w:r>
      <w:r w:rsidRPr="00982CC1">
        <w:t>Ghana, with particular attention to the role of socio-demographic characteristics and cultural norms.</w:t>
      </w:r>
    </w:p>
    <w:p w14:paraId="02169F11" w14:textId="77777777" w:rsidR="00AD300A" w:rsidRPr="00982CC1" w:rsidRDefault="00AD300A" w:rsidP="00AD300A">
      <w:pPr>
        <w:spacing w:before="240" w:after="120" w:line="276" w:lineRule="auto"/>
        <w:jc w:val="both"/>
      </w:pPr>
      <w:r w:rsidRPr="00982CC1">
        <w:t xml:space="preserve">Guided by Bronfenbrenner’s Ecological Systems Theory and Intersectionality Theory, the study adopts a convergent mixed-methods design. Quantitative data were collected through a survey of 886 young adults aged 18–35, while qualitative data were generated through 18 in-depth interviews. Quantitative analysis involved descriptive statistics and binary logistic regression models with </w:t>
      </w:r>
      <w:r>
        <w:t xml:space="preserve">interaction terms </w:t>
      </w:r>
      <w:r w:rsidRPr="00982CC1">
        <w:t>to assess socio-demographic and intersectional predictors of receipt of family support. Qualitative data were analysed narratively and thematically to explore how cultural norms and family expectations shape support practices.</w:t>
      </w:r>
    </w:p>
    <w:p w14:paraId="38E10ABF" w14:textId="77777777" w:rsidR="00AD300A" w:rsidRDefault="00AD300A" w:rsidP="00AD300A">
      <w:pPr>
        <w:spacing w:before="240" w:after="120" w:line="276" w:lineRule="auto"/>
        <w:jc w:val="both"/>
      </w:pPr>
      <w:r>
        <w:t>The f</w:t>
      </w:r>
      <w:r w:rsidRPr="00982CC1">
        <w:t>indings indicate that family support remains widespread but unevenly distributed. Household wealth, higher education</w:t>
      </w:r>
      <w:r>
        <w:t>al attainment</w:t>
      </w:r>
      <w:r w:rsidRPr="00982CC1">
        <w:t xml:space="preserve"> of </w:t>
      </w:r>
      <w:r>
        <w:t xml:space="preserve">the </w:t>
      </w:r>
      <w:r w:rsidRPr="00982CC1">
        <w:t>respondent, living arrangement and parent</w:t>
      </w:r>
      <w:r>
        <w:t>s’</w:t>
      </w:r>
      <w:r w:rsidRPr="00982CC1">
        <w:t xml:space="preserve"> </w:t>
      </w:r>
      <w:r>
        <w:t xml:space="preserve">marital </w:t>
      </w:r>
      <w:r w:rsidRPr="00982CC1">
        <w:t>status significantly predict receipt of support. Intersectional analysis reveals compounded disadvantages for young adults located at the intersection of low socio-economic status, unstable family structures, and gendered expectations. Qualitative findings show that extended kinship ties, inheritance systems, age and marriage norms, reciprocity obligations, and moral expectations strongly regulate both the provision and withdrawal of support, rendering family assistance conditional rather than guaranteed.</w:t>
      </w:r>
    </w:p>
    <w:p w14:paraId="2C660460" w14:textId="77777777" w:rsidR="00AD300A" w:rsidRPr="00982CC1" w:rsidRDefault="00AD300A" w:rsidP="00AD300A">
      <w:pPr>
        <w:spacing w:before="240" w:after="120" w:line="276" w:lineRule="auto"/>
        <w:jc w:val="both"/>
      </w:pPr>
      <w:r w:rsidRPr="00982CC1">
        <w:t xml:space="preserve">The study contributes to knowledge by foregrounding urban youth experiences, applying an intersectional lens to family support, and integrating quantitative and qualitative evidence. The study recommends the need for effective youth-responsive social protection measures that complement family support systems. Such </w:t>
      </w:r>
      <w:r>
        <w:t xml:space="preserve">social </w:t>
      </w:r>
      <w:r w:rsidRPr="00982CC1">
        <w:t xml:space="preserve">policies and </w:t>
      </w:r>
      <w:proofErr w:type="spellStart"/>
      <w:r w:rsidRPr="00982CC1">
        <w:t>programme</w:t>
      </w:r>
      <w:proofErr w:type="spellEnd"/>
      <w:r w:rsidRPr="00982CC1">
        <w:t xml:space="preserve"> should address structural inequalities, gendered expectations and intersecting disadvantages that shape young adults’ access to </w:t>
      </w:r>
      <w:r>
        <w:t xml:space="preserve">family </w:t>
      </w:r>
      <w:r w:rsidRPr="00982CC1">
        <w:t xml:space="preserve">support, </w:t>
      </w:r>
      <w:r>
        <w:t xml:space="preserve">as they </w:t>
      </w:r>
      <w:r w:rsidRPr="00982CC1">
        <w:t>transition to adulthood in Ghana.</w:t>
      </w:r>
    </w:p>
    <w:p w14:paraId="4A402BAC" w14:textId="77777777" w:rsidR="00743F48" w:rsidRDefault="00743F48" w:rsidP="00AD300A">
      <w:pPr>
        <w:spacing w:line="276" w:lineRule="auto"/>
      </w:pPr>
    </w:p>
    <w:sectPr w:rsidR="00743F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72384"/>
    <w:multiLevelType w:val="multilevel"/>
    <w:tmpl w:val="8578C008"/>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36F2AB6"/>
    <w:multiLevelType w:val="multilevel"/>
    <w:tmpl w:val="CC22BF38"/>
    <w:lvl w:ilvl="0">
      <w:start w:val="1"/>
      <w:numFmt w:val="decimal"/>
      <w:lvlText w:val="4.%1"/>
      <w:lvlJc w:val="left"/>
      <w:pPr>
        <w:ind w:left="360" w:hanging="360"/>
      </w:pPr>
      <w:rPr>
        <w:rFonts w:hint="default"/>
      </w:rPr>
    </w:lvl>
    <w:lvl w:ilvl="1">
      <w:start w:val="1"/>
      <w:numFmt w:val="decimal"/>
      <w:lvlText w:val="%1.%2"/>
      <w:lvlJc w:val="left"/>
      <w:pPr>
        <w:ind w:left="718" w:hanging="576"/>
      </w:pPr>
    </w:lvl>
    <w:lvl w:ilvl="2">
      <w:start w:val="1"/>
      <w:numFmt w:val="decimal"/>
      <w:lvlText w:val="%1.%2.%3"/>
      <w:lvlJc w:val="left"/>
      <w:pPr>
        <w:ind w:left="1170" w:hanging="720"/>
      </w:pPr>
      <w:rPr>
        <w:rFonts w:ascii="Times New Roman" w:hAnsi="Times New Roman" w:cs="Times New Roman" w:hint="default"/>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D3F1FD2"/>
    <w:multiLevelType w:val="multilevel"/>
    <w:tmpl w:val="31946F1E"/>
    <w:lvl w:ilvl="0">
      <w:start w:val="1"/>
      <w:numFmt w:val="decimal"/>
      <w:lvlText w:val="%1."/>
      <w:lvlJc w:val="left"/>
      <w:pPr>
        <w:ind w:left="360" w:hanging="36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118136403">
    <w:abstractNumId w:val="1"/>
  </w:num>
  <w:num w:numId="2" w16cid:durableId="1408921900">
    <w:abstractNumId w:val="0"/>
  </w:num>
  <w:num w:numId="3" w16cid:durableId="17685782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00A"/>
    <w:rsid w:val="002530F8"/>
    <w:rsid w:val="00743F48"/>
    <w:rsid w:val="00AD300A"/>
    <w:rsid w:val="00D62327"/>
    <w:rsid w:val="00D931A0"/>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decimalSymbol w:val="."/>
  <w:listSeparator w:val=","/>
  <w14:docId w14:val="12B522F4"/>
  <w15:chartTrackingRefBased/>
  <w15:docId w15:val="{B6285A34-A1B6-5B49-9D83-9BCD3CEBE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00A"/>
    <w:rPr>
      <w:rFonts w:ascii="Times New Roman" w:eastAsia="Times New Roman" w:hAnsi="Times New Roman" w:cs="Times New Roman"/>
      <w:kern w:val="0"/>
      <w:lang w:val="en-US" w:eastAsia="en-GB"/>
      <w14:ligatures w14:val="none"/>
    </w:rPr>
  </w:style>
  <w:style w:type="paragraph" w:styleId="Heading1">
    <w:name w:val="heading 1"/>
    <w:basedOn w:val="Normal"/>
    <w:next w:val="Normal"/>
    <w:link w:val="Heading1Char"/>
    <w:uiPriority w:val="9"/>
    <w:qFormat/>
    <w:rsid w:val="00D931A0"/>
    <w:pPr>
      <w:keepNext/>
      <w:keepLines/>
      <w:numPr>
        <w:numId w:val="2"/>
      </w:numPr>
      <w:spacing w:before="240" w:after="0" w:line="240" w:lineRule="auto"/>
      <w:ind w:left="360" w:hanging="360"/>
      <w:outlineLvl w:val="0"/>
    </w:pPr>
    <w:rPr>
      <w:color w:val="2F5496"/>
      <w:sz w:val="28"/>
      <w:szCs w:val="32"/>
      <w:lang w:val="en-GH"/>
    </w:rPr>
  </w:style>
  <w:style w:type="paragraph" w:styleId="Heading2">
    <w:name w:val="heading 2"/>
    <w:basedOn w:val="Normal"/>
    <w:next w:val="Normal"/>
    <w:link w:val="Heading2Char"/>
    <w:uiPriority w:val="9"/>
    <w:semiHidden/>
    <w:unhideWhenUsed/>
    <w:qFormat/>
    <w:rsid w:val="00AD30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30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30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30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30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0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0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0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931A0"/>
    <w:rPr>
      <w:rFonts w:ascii="Times New Roman" w:eastAsia="Times New Roman" w:hAnsi="Times New Roman"/>
      <w:color w:val="2F5496"/>
      <w:sz w:val="28"/>
      <w:szCs w:val="32"/>
    </w:rPr>
  </w:style>
  <w:style w:type="character" w:customStyle="1" w:styleId="Heading2Char">
    <w:name w:val="Heading 2 Char"/>
    <w:basedOn w:val="DefaultParagraphFont"/>
    <w:link w:val="Heading2"/>
    <w:uiPriority w:val="9"/>
    <w:semiHidden/>
    <w:rsid w:val="00AD300A"/>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AD300A"/>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AD300A"/>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AD300A"/>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AD300A"/>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AD300A"/>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AD300A"/>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AD300A"/>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AD30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00A"/>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D30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00A"/>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D300A"/>
    <w:pPr>
      <w:spacing w:before="160"/>
      <w:jc w:val="center"/>
    </w:pPr>
    <w:rPr>
      <w:i/>
      <w:iCs/>
      <w:color w:val="404040" w:themeColor="text1" w:themeTint="BF"/>
    </w:rPr>
  </w:style>
  <w:style w:type="character" w:customStyle="1" w:styleId="QuoteChar">
    <w:name w:val="Quote Char"/>
    <w:basedOn w:val="DefaultParagraphFont"/>
    <w:link w:val="Quote"/>
    <w:uiPriority w:val="29"/>
    <w:rsid w:val="00AD300A"/>
    <w:rPr>
      <w:i/>
      <w:iCs/>
      <w:color w:val="404040" w:themeColor="text1" w:themeTint="BF"/>
      <w:lang w:val="en-GB"/>
    </w:rPr>
  </w:style>
  <w:style w:type="paragraph" w:styleId="ListParagraph">
    <w:name w:val="List Paragraph"/>
    <w:basedOn w:val="Normal"/>
    <w:uiPriority w:val="34"/>
    <w:qFormat/>
    <w:rsid w:val="00AD300A"/>
    <w:pPr>
      <w:ind w:left="720"/>
      <w:contextualSpacing/>
    </w:pPr>
  </w:style>
  <w:style w:type="character" w:styleId="IntenseEmphasis">
    <w:name w:val="Intense Emphasis"/>
    <w:basedOn w:val="DefaultParagraphFont"/>
    <w:uiPriority w:val="21"/>
    <w:qFormat/>
    <w:rsid w:val="00AD300A"/>
    <w:rPr>
      <w:i/>
      <w:iCs/>
      <w:color w:val="0F4761" w:themeColor="accent1" w:themeShade="BF"/>
    </w:rPr>
  </w:style>
  <w:style w:type="paragraph" w:styleId="IntenseQuote">
    <w:name w:val="Intense Quote"/>
    <w:basedOn w:val="Normal"/>
    <w:next w:val="Normal"/>
    <w:link w:val="IntenseQuoteChar"/>
    <w:uiPriority w:val="30"/>
    <w:qFormat/>
    <w:rsid w:val="00AD30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300A"/>
    <w:rPr>
      <w:i/>
      <w:iCs/>
      <w:color w:val="0F4761" w:themeColor="accent1" w:themeShade="BF"/>
      <w:lang w:val="en-GB"/>
    </w:rPr>
  </w:style>
  <w:style w:type="character" w:styleId="IntenseReference">
    <w:name w:val="Intense Reference"/>
    <w:basedOn w:val="DefaultParagraphFont"/>
    <w:uiPriority w:val="32"/>
    <w:qFormat/>
    <w:rsid w:val="00AD30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408</Words>
  <Characters>2327</Characters>
  <Application>Microsoft Office Word</Application>
  <DocSecurity>0</DocSecurity>
  <Lines>19</Lines>
  <Paragraphs>5</Paragraphs>
  <ScaleCrop>false</ScaleCrop>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Boateng Ethel Seiwaa</dc:creator>
  <cp:keywords/>
  <dc:description/>
  <cp:lastModifiedBy>Boateng Ethel Seiwaa</cp:lastModifiedBy>
  <cp:revision>1</cp:revision>
  <dcterms:created xsi:type="dcterms:W3CDTF">2026-10-26T08:01:00Z</dcterms:created>
  <dcterms:modified xsi:type="dcterms:W3CDTF">2026-10-26T08:05:00Z</dcterms:modified>
</cp:coreProperties>
</file>