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BAF1" w14:textId="7D3B32AD" w:rsidR="00A56471" w:rsidRPr="00A56471" w:rsidRDefault="00A56471">
      <w:pPr>
        <w:rPr>
          <w:b/>
          <w:bCs/>
          <w:lang w:val="en-GB"/>
        </w:rPr>
      </w:pPr>
      <w:r w:rsidRPr="00A56471">
        <w:rPr>
          <w:b/>
          <w:bCs/>
          <w:lang w:val="en-GB"/>
        </w:rPr>
        <w:t>Asher Amanor</w:t>
      </w:r>
    </w:p>
    <w:p w14:paraId="15E77256" w14:textId="3BBD5375" w:rsidR="00A56471" w:rsidRPr="00A56471" w:rsidRDefault="00A56471">
      <w:pPr>
        <w:rPr>
          <w:b/>
          <w:bCs/>
          <w:lang w:val="en-GB"/>
        </w:rPr>
      </w:pPr>
      <w:r w:rsidRPr="00A56471">
        <w:rPr>
          <w:b/>
          <w:bCs/>
          <w:lang w:val="en-GB"/>
        </w:rPr>
        <w:t>PhD Thesis Abstract</w:t>
      </w:r>
    </w:p>
    <w:p w14:paraId="02204D5C" w14:textId="2C448050" w:rsidR="00A56471" w:rsidRDefault="00A56471" w:rsidP="00A56471">
      <w:pPr>
        <w:spacing w:line="480" w:lineRule="auto"/>
        <w:jc w:val="both"/>
        <w:rPr>
          <w:b/>
          <w:bCs/>
          <w:lang w:val="en-GB"/>
        </w:rPr>
      </w:pPr>
      <w:r w:rsidRPr="00A56471">
        <w:rPr>
          <w:b/>
          <w:bCs/>
          <w:lang w:val="en-GB"/>
        </w:rPr>
        <w:t>Thesis Title: Mobility and Immobility Experiences of Convicted Drug Mules in Ghana</w:t>
      </w:r>
    </w:p>
    <w:p w14:paraId="77758243" w14:textId="30A80353" w:rsidR="00A56471" w:rsidRPr="00A56471" w:rsidRDefault="00A56471" w:rsidP="00A56471">
      <w:pPr>
        <w:spacing w:line="480" w:lineRule="auto"/>
        <w:jc w:val="both"/>
        <w:rPr>
          <w:b/>
          <w:bCs/>
          <w:lang w:val="en-GB"/>
        </w:rPr>
      </w:pPr>
      <w:r>
        <w:rPr>
          <w:b/>
          <w:bCs/>
          <w:lang w:val="en-GB"/>
        </w:rPr>
        <w:t>Abstract</w:t>
      </w:r>
    </w:p>
    <w:p w14:paraId="173960A9" w14:textId="0C2A7A12" w:rsidR="00A56471" w:rsidRPr="00066501" w:rsidRDefault="00A56471" w:rsidP="00A56471">
      <w:pPr>
        <w:spacing w:line="240" w:lineRule="auto"/>
        <w:jc w:val="both"/>
        <w:rPr>
          <w:rFonts w:eastAsia="Calibri"/>
          <w:b/>
        </w:rPr>
      </w:pPr>
      <w:r w:rsidRPr="00066501">
        <w:t>This study explored the mobility and immobility experiences of convicted drug mules in Nsawam Medium Security Prison. Convicted drug mules experience a sudden transition from a state of mobility to involuntary immobility.  While existing mobility and migration literature have increasingly acknowledged transitioning from one form of (im)mobility to another, there remains a gap in how individuals move between different forms of (im)mobility over time. This thesis fills that gap by examining the (in)voluntary mobility trajectories and experiences of convicted drug mules before and after getting involved in drug trafficking.</w:t>
      </w:r>
      <w:r w:rsidRPr="00066501">
        <w:rPr>
          <w:rFonts w:eastAsia="Calibri"/>
          <w:bCs/>
        </w:rPr>
        <w:t xml:space="preserve">  The study adopts a qualitative research design and draws on in-depth interviews conducted with sixteen (eight males and eight females) convicted drug mules. Data collection was carried out using a combination of purposive, census and snowball sampling techniques. The findings revealed certain critical insights. First, although many participants had the resources and access required to travel (motility), this did not always translate into voluntary mobility considering the constrained agency behind their decisions to move. Second, the sudden loss of freedom during incarceration engendered significant emotional distress, including frustration, anxiety and feelings of powerlessness. </w:t>
      </w:r>
      <w:r w:rsidRPr="00066501">
        <w:t xml:space="preserve">The breakdown of social and family relationships further compounded these struggles; while male inmates often experienced marital abandonment, female inmates, particularly single mothers, suffered the emotional toll of separation from their children. Contrary to the conventional perceptions of imprisonment as a period of stagnation, the findings suggest that incarceration also serves as a transformative experience that reshapes personal identities, coping mechanisms and social connections. Third, the study found that regardless of the plea entered during trial (guilty or not guilty), all participants eventually transitioned into a state of adaptive immobility, demonstrating varying degrees of adjustment to their incarceration. Economically driven migration, voluntary immobility and voluntary mobility for the purposes of business were identified as the mobility intentions post-incarceration. By understanding how convicted drug mules transition through different phases of immobility, the study extends the current aspiration/ability framework to include partial voluntary mobility, constrained agency and adaptive immobility to augment the framework’s capacity. The inclusion of these conceptual innovations will elucidate the ambiguities, fluidities and the strategic rationalities underlying mobility and immobility. It is therefore recommended that migration scholars adopt the concepts of partial voluntary mobility, constrained agency and adaptive immobility to enrich existing theoretical frameworks to reflect the complex realities of vulnerable mobile populations. This will provide a more nuanced and context-sensitive lens for analysing mobility and immobility, thereby informing a more responsive and ethically informed migration and mobility policies and research. The study further recommends the incorporation of individual vulnerability assessments during the prosecution of </w:t>
      </w:r>
      <w:r w:rsidRPr="00066501">
        <w:lastRenderedPageBreak/>
        <w:t xml:space="preserve">suspected drug mules in order to enhance justice and improve support mechanisms for affected individuals. </w:t>
      </w:r>
    </w:p>
    <w:p w14:paraId="0F3DFA21" w14:textId="77777777" w:rsidR="00A56471" w:rsidRPr="00066501" w:rsidRDefault="00A56471" w:rsidP="00A56471">
      <w:pPr>
        <w:spacing w:line="240" w:lineRule="auto"/>
        <w:jc w:val="both"/>
        <w:rPr>
          <w:rFonts w:eastAsia="Calibri"/>
          <w:b/>
        </w:rPr>
      </w:pPr>
    </w:p>
    <w:p w14:paraId="734232E1" w14:textId="77777777" w:rsidR="00A56471" w:rsidRPr="00A56471" w:rsidRDefault="00A56471" w:rsidP="00A56471">
      <w:pPr>
        <w:spacing w:line="240" w:lineRule="auto"/>
      </w:pPr>
    </w:p>
    <w:sectPr w:rsidR="00A56471" w:rsidRPr="00A564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71"/>
    <w:rsid w:val="004331DE"/>
    <w:rsid w:val="00A5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5EC1"/>
  <w15:chartTrackingRefBased/>
  <w15:docId w15:val="{25DF361A-1B48-4052-A5CE-C6A337E7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4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4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4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4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4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4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471"/>
    <w:rPr>
      <w:rFonts w:eastAsiaTheme="majorEastAsia" w:cstheme="majorBidi"/>
      <w:color w:val="272727" w:themeColor="text1" w:themeTint="D8"/>
    </w:rPr>
  </w:style>
  <w:style w:type="paragraph" w:styleId="Title">
    <w:name w:val="Title"/>
    <w:basedOn w:val="Normal"/>
    <w:next w:val="Normal"/>
    <w:link w:val="TitleChar"/>
    <w:uiPriority w:val="10"/>
    <w:qFormat/>
    <w:rsid w:val="00A5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471"/>
    <w:pPr>
      <w:spacing w:before="160"/>
      <w:jc w:val="center"/>
    </w:pPr>
    <w:rPr>
      <w:i/>
      <w:iCs/>
      <w:color w:val="404040" w:themeColor="text1" w:themeTint="BF"/>
    </w:rPr>
  </w:style>
  <w:style w:type="character" w:customStyle="1" w:styleId="QuoteChar">
    <w:name w:val="Quote Char"/>
    <w:basedOn w:val="DefaultParagraphFont"/>
    <w:link w:val="Quote"/>
    <w:uiPriority w:val="29"/>
    <w:rsid w:val="00A56471"/>
    <w:rPr>
      <w:i/>
      <w:iCs/>
      <w:color w:val="404040" w:themeColor="text1" w:themeTint="BF"/>
    </w:rPr>
  </w:style>
  <w:style w:type="paragraph" w:styleId="ListParagraph">
    <w:name w:val="List Paragraph"/>
    <w:basedOn w:val="Normal"/>
    <w:uiPriority w:val="34"/>
    <w:qFormat/>
    <w:rsid w:val="00A56471"/>
    <w:pPr>
      <w:ind w:left="720"/>
      <w:contextualSpacing/>
    </w:pPr>
  </w:style>
  <w:style w:type="character" w:styleId="IntenseEmphasis">
    <w:name w:val="Intense Emphasis"/>
    <w:basedOn w:val="DefaultParagraphFont"/>
    <w:uiPriority w:val="21"/>
    <w:qFormat/>
    <w:rsid w:val="00A56471"/>
    <w:rPr>
      <w:i/>
      <w:iCs/>
      <w:color w:val="2F5496" w:themeColor="accent1" w:themeShade="BF"/>
    </w:rPr>
  </w:style>
  <w:style w:type="paragraph" w:styleId="IntenseQuote">
    <w:name w:val="Intense Quote"/>
    <w:basedOn w:val="Normal"/>
    <w:next w:val="Normal"/>
    <w:link w:val="IntenseQuoteChar"/>
    <w:uiPriority w:val="30"/>
    <w:qFormat/>
    <w:rsid w:val="00A5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471"/>
    <w:rPr>
      <w:i/>
      <w:iCs/>
      <w:color w:val="2F5496" w:themeColor="accent1" w:themeShade="BF"/>
    </w:rPr>
  </w:style>
  <w:style w:type="character" w:styleId="IntenseReference">
    <w:name w:val="Intense Reference"/>
    <w:basedOn w:val="DefaultParagraphFont"/>
    <w:uiPriority w:val="32"/>
    <w:qFormat/>
    <w:rsid w:val="00A56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Amanor Asher</dc:creator>
  <cp:keywords/>
  <dc:description/>
  <cp:lastModifiedBy>Amanor Asher</cp:lastModifiedBy>
  <cp:revision>1</cp:revision>
  <dcterms:created xsi:type="dcterms:W3CDTF">2026-05-09T09:48:00Z</dcterms:created>
  <dcterms:modified xsi:type="dcterms:W3CDTF">2026-05-09T09:53:00Z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8c2a4092-705d-4394-b3f5-68d6deaee46f</vt:lpwstr>
  </property>
</Properties>
</file>